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2B1" w:rsidRPr="00A44AF4" w:rsidRDefault="009052B1" w:rsidP="009052B1">
      <w:pPr>
        <w:keepNext/>
        <w:jc w:val="right"/>
        <w:outlineLvl w:val="0"/>
        <w:rPr>
          <w:rFonts w:cs="Times New Roman"/>
          <w:b/>
          <w:bCs/>
          <w:snapToGrid/>
          <w:sz w:val="40"/>
          <w:szCs w:val="40"/>
        </w:rPr>
      </w:pPr>
      <w:r w:rsidRPr="00A44AF4">
        <w:rPr>
          <w:rFonts w:cs="Times New Roman"/>
          <w:b/>
          <w:bCs/>
          <w:noProof/>
          <w:sz w:val="40"/>
          <w:szCs w:val="40"/>
        </w:rPr>
        <w:drawing>
          <wp:anchor distT="0" distB="0" distL="114300" distR="114300" simplePos="0" relativeHeight="251659264" behindDoc="0" locked="0" layoutInCell="1" allowOverlap="1">
            <wp:simplePos x="0" y="0"/>
            <wp:positionH relativeFrom="column">
              <wp:posOffset>-149860</wp:posOffset>
            </wp:positionH>
            <wp:positionV relativeFrom="paragraph">
              <wp:posOffset>-34925</wp:posOffset>
            </wp:positionV>
            <wp:extent cx="1597025" cy="631190"/>
            <wp:effectExtent l="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7025" cy="631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52B1" w:rsidRPr="00A44AF4" w:rsidRDefault="009052B1" w:rsidP="009052B1">
      <w:pPr>
        <w:jc w:val="left"/>
        <w:rPr>
          <w:b/>
          <w:bCs/>
          <w:sz w:val="21"/>
          <w:szCs w:val="21"/>
        </w:rPr>
      </w:pPr>
    </w:p>
    <w:p w:rsidR="009052B1" w:rsidRPr="00A44AF4" w:rsidRDefault="009052B1" w:rsidP="009052B1">
      <w:pPr>
        <w:jc w:val="left"/>
        <w:rPr>
          <w:snapToGrid/>
          <w:szCs w:val="20"/>
        </w:rPr>
      </w:pPr>
    </w:p>
    <w:p w:rsidR="009052B1" w:rsidRPr="00A44AF4" w:rsidRDefault="009052B1" w:rsidP="009052B1">
      <w:pPr>
        <w:ind w:hanging="270"/>
        <w:jc w:val="left"/>
        <w:rPr>
          <w:rFonts w:ascii="Times New Roman" w:hAnsi="Times New Roman" w:cs="Times New Roman"/>
          <w:snapToGrid/>
          <w:szCs w:val="20"/>
        </w:rPr>
      </w:pPr>
      <w:r w:rsidRPr="00A44AF4">
        <w:rPr>
          <w:rFonts w:ascii="Times New Roman" w:hAnsi="Times New Roman" w:cs="Times New Roman"/>
          <w:snapToGrid/>
          <w:szCs w:val="20"/>
        </w:rPr>
        <w:t xml:space="preserve">Région Laval–Laurentides–Lanaudière </w:t>
      </w:r>
    </w:p>
    <w:p w:rsidR="009052B1" w:rsidRPr="00A44AF4" w:rsidRDefault="009052B1" w:rsidP="009052B1">
      <w:pPr>
        <w:jc w:val="right"/>
        <w:rPr>
          <w:b/>
          <w:snapToGrid/>
          <w:sz w:val="36"/>
          <w:szCs w:val="36"/>
        </w:rPr>
      </w:pPr>
      <w:r w:rsidRPr="00A44AF4">
        <w:rPr>
          <w:b/>
          <w:snapToGrid/>
          <w:sz w:val="36"/>
          <w:szCs w:val="36"/>
        </w:rPr>
        <w:t>COMMUNIQUÉ</w:t>
      </w:r>
    </w:p>
    <w:p w:rsidR="009052B1" w:rsidRPr="00A44AF4" w:rsidRDefault="009052B1" w:rsidP="009052B1">
      <w:pPr>
        <w:jc w:val="right"/>
        <w:rPr>
          <w:snapToGrid/>
          <w:szCs w:val="20"/>
        </w:rPr>
      </w:pPr>
      <w:r w:rsidRPr="00A44AF4">
        <w:rPr>
          <w:snapToGrid/>
          <w:szCs w:val="20"/>
        </w:rPr>
        <w:t>Pour diffusion immédiate</w:t>
      </w:r>
    </w:p>
    <w:p w:rsidR="009052B1" w:rsidRPr="00A44AF4" w:rsidRDefault="009052B1" w:rsidP="009052B1">
      <w:pPr>
        <w:jc w:val="center"/>
        <w:rPr>
          <w:b/>
          <w:bCs/>
          <w:snapToGrid/>
          <w:sz w:val="18"/>
          <w:szCs w:val="18"/>
        </w:rPr>
      </w:pPr>
    </w:p>
    <w:p w:rsidR="009052B1" w:rsidRPr="00A44AF4" w:rsidRDefault="009052B1" w:rsidP="009052B1">
      <w:pPr>
        <w:jc w:val="center"/>
        <w:rPr>
          <w:b/>
          <w:bCs/>
          <w:snapToGrid/>
          <w:sz w:val="18"/>
          <w:szCs w:val="18"/>
        </w:rPr>
      </w:pPr>
    </w:p>
    <w:p w:rsidR="009052B1" w:rsidRPr="00A44AF4" w:rsidRDefault="009052B1" w:rsidP="009052B1">
      <w:pPr>
        <w:jc w:val="center"/>
        <w:rPr>
          <w:b/>
          <w:bCs/>
          <w:snapToGrid/>
          <w:sz w:val="18"/>
          <w:szCs w:val="18"/>
        </w:rPr>
      </w:pPr>
    </w:p>
    <w:p w:rsidR="009052B1" w:rsidRPr="00A44AF4" w:rsidRDefault="009052B1" w:rsidP="009052B1">
      <w:pPr>
        <w:jc w:val="center"/>
        <w:rPr>
          <w:b/>
          <w:bCs/>
          <w:sz w:val="28"/>
          <w:szCs w:val="28"/>
        </w:rPr>
      </w:pPr>
      <w:r w:rsidRPr="00A44AF4">
        <w:rPr>
          <w:b/>
          <w:bCs/>
          <w:sz w:val="28"/>
          <w:szCs w:val="28"/>
        </w:rPr>
        <w:t xml:space="preserve">158 personnes retraitées à l’assemblée générale </w:t>
      </w:r>
    </w:p>
    <w:p w:rsidR="009052B1" w:rsidRPr="00A44AF4" w:rsidRDefault="009052B1" w:rsidP="009052B1">
      <w:pPr>
        <w:jc w:val="center"/>
        <w:rPr>
          <w:b/>
          <w:bCs/>
          <w:sz w:val="28"/>
          <w:szCs w:val="28"/>
        </w:rPr>
      </w:pPr>
      <w:r w:rsidRPr="00A44AF4">
        <w:rPr>
          <w:b/>
          <w:bCs/>
          <w:sz w:val="28"/>
          <w:szCs w:val="28"/>
        </w:rPr>
        <w:t>de l’AREQ région Laval–Laurentides–Lanaudière</w:t>
      </w:r>
    </w:p>
    <w:p w:rsidR="009052B1" w:rsidRPr="00A44AF4" w:rsidRDefault="009052B1" w:rsidP="009052B1">
      <w:pPr>
        <w:jc w:val="center"/>
        <w:rPr>
          <w:b/>
          <w:sz w:val="22"/>
          <w:szCs w:val="22"/>
        </w:rPr>
      </w:pPr>
    </w:p>
    <w:p w:rsidR="009052B1" w:rsidRPr="00A44AF4" w:rsidRDefault="009052B1" w:rsidP="009052B1">
      <w:pPr>
        <w:rPr>
          <w:sz w:val="22"/>
          <w:szCs w:val="22"/>
        </w:rPr>
      </w:pPr>
      <w:r w:rsidRPr="00A44AF4">
        <w:rPr>
          <w:b/>
          <w:sz w:val="22"/>
          <w:szCs w:val="22"/>
        </w:rPr>
        <w:t xml:space="preserve">Laval, le </w:t>
      </w:r>
      <w:r>
        <w:rPr>
          <w:b/>
          <w:sz w:val="22"/>
          <w:szCs w:val="22"/>
        </w:rPr>
        <w:t>31</w:t>
      </w:r>
      <w:r w:rsidRPr="00A44AF4">
        <w:rPr>
          <w:b/>
          <w:sz w:val="22"/>
          <w:szCs w:val="22"/>
        </w:rPr>
        <w:t xml:space="preserve">  mai 2016 –</w:t>
      </w:r>
      <w:r w:rsidRPr="00A44AF4">
        <w:rPr>
          <w:sz w:val="22"/>
          <w:szCs w:val="22"/>
        </w:rPr>
        <w:t xml:space="preserve"> Plus de cent cinquante personnes retraitées de la région ont assisté à l’assemblée générale annuelle de l’AREQ Laval–Laurentides–Lanaudière, le 26 mai à Blainville. Elles ont fait le point sur différents sujets, notamment en matière de santé et de situation financière.</w:t>
      </w:r>
    </w:p>
    <w:p w:rsidR="009052B1" w:rsidRPr="00A44AF4" w:rsidRDefault="009052B1" w:rsidP="009052B1">
      <w:pPr>
        <w:rPr>
          <w:sz w:val="22"/>
          <w:szCs w:val="22"/>
        </w:rPr>
      </w:pPr>
    </w:p>
    <w:p w:rsidR="009052B1" w:rsidRPr="00A44AF4" w:rsidRDefault="009052B1" w:rsidP="009052B1">
      <w:pPr>
        <w:rPr>
          <w:sz w:val="22"/>
          <w:szCs w:val="22"/>
        </w:rPr>
      </w:pPr>
      <w:r w:rsidRPr="00A44AF4">
        <w:rPr>
          <w:sz w:val="22"/>
          <w:szCs w:val="22"/>
        </w:rPr>
        <w:t>D’entrée de jeu, la présidente régionale, Mireille Ménard, a remercié les personnes présentes et fait le bilan du plan d’action régional. « Votre participation en grand nombre à cette assemblée est un bel encouragement aux personnes élues ou impliquées dans notre association à poursuivre leur travail bénévole. Nous sommes fiers de défendre les droits des personnes aînées de la région dans plusieurs dossiers qui les touchent de près, que ce soit leur santé, leur situation financière ou leur sécurité », a souligné madame Ménard.</w:t>
      </w:r>
    </w:p>
    <w:p w:rsidR="009052B1" w:rsidRPr="00A44AF4" w:rsidRDefault="009052B1" w:rsidP="009052B1">
      <w:pPr>
        <w:rPr>
          <w:sz w:val="22"/>
          <w:szCs w:val="22"/>
        </w:rPr>
      </w:pPr>
    </w:p>
    <w:p w:rsidR="009052B1" w:rsidRPr="00A44AF4" w:rsidRDefault="009052B1" w:rsidP="009052B1">
      <w:pPr>
        <w:rPr>
          <w:sz w:val="22"/>
          <w:szCs w:val="22"/>
        </w:rPr>
      </w:pPr>
      <w:r w:rsidRPr="00A44AF4">
        <w:rPr>
          <w:sz w:val="22"/>
          <w:szCs w:val="22"/>
        </w:rPr>
        <w:t>Puis, les différents responsables de comités au sein de l’Association ont fait le compte rendu de leurs activités : l’action sociopolitique, la condition des femmes, la condition des hommes, l’environnement, la retraite, etc. Il a également été question de la participation de l’AREQ au sein de la Table régionale des personnes aînées.</w:t>
      </w:r>
    </w:p>
    <w:p w:rsidR="009052B1" w:rsidRPr="00A44AF4" w:rsidRDefault="009052B1" w:rsidP="009052B1">
      <w:pPr>
        <w:rPr>
          <w:sz w:val="22"/>
          <w:szCs w:val="22"/>
        </w:rPr>
      </w:pPr>
    </w:p>
    <w:p w:rsidR="009052B1" w:rsidRPr="00A44AF4" w:rsidRDefault="009052B1" w:rsidP="009052B1">
      <w:pPr>
        <w:rPr>
          <w:b/>
          <w:sz w:val="22"/>
          <w:szCs w:val="22"/>
        </w:rPr>
      </w:pPr>
      <w:r w:rsidRPr="00A44AF4">
        <w:rPr>
          <w:b/>
          <w:sz w:val="22"/>
          <w:szCs w:val="22"/>
        </w:rPr>
        <w:t>Discours du président de l’AREQ</w:t>
      </w:r>
    </w:p>
    <w:p w:rsidR="009052B1" w:rsidRPr="00A44AF4" w:rsidRDefault="009052B1" w:rsidP="009052B1">
      <w:pPr>
        <w:rPr>
          <w:sz w:val="22"/>
          <w:szCs w:val="22"/>
        </w:rPr>
      </w:pPr>
      <w:r w:rsidRPr="00A44AF4">
        <w:rPr>
          <w:sz w:val="22"/>
          <w:szCs w:val="22"/>
        </w:rPr>
        <w:t>Le président national de l’AREQ, Pierre-Paul Côté, s’est également entretenu avec les membres. Il a discuté des grands enjeux abordés par l’AREQ, par exemple la lutte pour l’abolition des frais accessoires et la réforme de structures en santé. Il a également fait le point quant à la demande de création d’une table de travail avec le gouvernement pour discuter des régimes de retraite et de l’appauvrissement des personnes retraitées.</w:t>
      </w:r>
    </w:p>
    <w:p w:rsidR="009052B1" w:rsidRPr="00A44AF4" w:rsidRDefault="009052B1" w:rsidP="009052B1">
      <w:pPr>
        <w:rPr>
          <w:sz w:val="22"/>
          <w:szCs w:val="22"/>
        </w:rPr>
      </w:pPr>
    </w:p>
    <w:p w:rsidR="009052B1" w:rsidRPr="00A44AF4" w:rsidRDefault="009052B1" w:rsidP="009052B1">
      <w:pPr>
        <w:rPr>
          <w:b/>
          <w:sz w:val="22"/>
          <w:szCs w:val="22"/>
        </w:rPr>
      </w:pPr>
      <w:r w:rsidRPr="00A44AF4">
        <w:rPr>
          <w:b/>
          <w:sz w:val="22"/>
          <w:szCs w:val="22"/>
        </w:rPr>
        <w:t>Conférence de Marcel Tessier</w:t>
      </w:r>
    </w:p>
    <w:p w:rsidR="009052B1" w:rsidRPr="00A44AF4" w:rsidRDefault="009052B1" w:rsidP="009052B1">
      <w:pPr>
        <w:rPr>
          <w:snapToGrid/>
          <w:sz w:val="22"/>
          <w:szCs w:val="22"/>
        </w:rPr>
      </w:pPr>
      <w:r w:rsidRPr="00A44AF4">
        <w:rPr>
          <w:sz w:val="22"/>
          <w:szCs w:val="22"/>
        </w:rPr>
        <w:t xml:space="preserve">En fin d’avant-midi, il y a eu remise de 6 prix coups de cœur d’artistes membres qui exposent leurs œuvres. Puis, en après-midi, les participantes et participants ont assisté à une conférence du coloré historien Marcel Tessier, à propos des patriotes et du Curé Labelle. </w:t>
      </w:r>
    </w:p>
    <w:p w:rsidR="009052B1" w:rsidRPr="00A44AF4" w:rsidRDefault="009052B1" w:rsidP="009052B1">
      <w:pPr>
        <w:rPr>
          <w:sz w:val="21"/>
          <w:szCs w:val="21"/>
        </w:rPr>
      </w:pPr>
    </w:p>
    <w:p w:rsidR="009052B1" w:rsidRPr="00A44AF4" w:rsidRDefault="009052B1" w:rsidP="009052B1">
      <w:pPr>
        <w:rPr>
          <w:b/>
          <w:sz w:val="22"/>
          <w:szCs w:val="22"/>
          <w:lang w:val="fr-FR"/>
        </w:rPr>
      </w:pPr>
      <w:r w:rsidRPr="00A44AF4">
        <w:rPr>
          <w:b/>
          <w:sz w:val="22"/>
          <w:szCs w:val="22"/>
          <w:lang w:val="fr-FR"/>
        </w:rPr>
        <w:t>À propos de l’AREQ</w:t>
      </w:r>
    </w:p>
    <w:p w:rsidR="009052B1" w:rsidRPr="00A44AF4" w:rsidRDefault="009052B1" w:rsidP="009052B1">
      <w:pPr>
        <w:rPr>
          <w:sz w:val="22"/>
          <w:szCs w:val="22"/>
          <w:lang w:val="fr-FR"/>
        </w:rPr>
      </w:pPr>
      <w:r w:rsidRPr="00A44AF4">
        <w:rPr>
          <w:sz w:val="22"/>
          <w:szCs w:val="22"/>
          <w:lang w:val="fr-FR"/>
        </w:rPr>
        <w:t>Fondée en 1961, l’Association des retraitées et retraités de l’éducation et des autres services publics du Québec (AREQ-CSQ) compte plus de 57 000 membres, dont 3 010 en Estrie. L’AREQ est affiliée à la Centrale des syndicats du Québec (CSQ).</w:t>
      </w:r>
    </w:p>
    <w:p w:rsidR="009052B1" w:rsidRPr="00A44AF4" w:rsidRDefault="009052B1" w:rsidP="009052B1">
      <w:pPr>
        <w:rPr>
          <w:sz w:val="21"/>
          <w:szCs w:val="21"/>
          <w:lang w:val="fr-FR"/>
        </w:rPr>
      </w:pPr>
    </w:p>
    <w:p w:rsidR="009052B1" w:rsidRPr="00A44AF4" w:rsidRDefault="009052B1" w:rsidP="009052B1">
      <w:pPr>
        <w:jc w:val="center"/>
        <w:rPr>
          <w:sz w:val="20"/>
          <w:szCs w:val="20"/>
          <w:lang w:val="fr-FR"/>
        </w:rPr>
      </w:pPr>
      <w:r w:rsidRPr="00A44AF4">
        <w:rPr>
          <w:sz w:val="20"/>
          <w:szCs w:val="20"/>
          <w:lang w:val="fr-FR"/>
        </w:rPr>
        <w:t>– 30 –</w:t>
      </w:r>
    </w:p>
    <w:tbl>
      <w:tblPr>
        <w:tblW w:w="0" w:type="auto"/>
        <w:tblLayout w:type="fixed"/>
        <w:tblLook w:val="04A0" w:firstRow="1" w:lastRow="0" w:firstColumn="1" w:lastColumn="0" w:noHBand="0" w:noVBand="1"/>
      </w:tblPr>
      <w:tblGrid>
        <w:gridCol w:w="9281"/>
        <w:gridCol w:w="236"/>
      </w:tblGrid>
      <w:tr w:rsidR="009052B1" w:rsidRPr="00221EC2" w:rsidTr="00A434F4">
        <w:trPr>
          <w:trHeight w:val="1155"/>
        </w:trPr>
        <w:tc>
          <w:tcPr>
            <w:tcW w:w="9281" w:type="dxa"/>
            <w:hideMark/>
          </w:tcPr>
          <w:p w:rsidR="009052B1" w:rsidRPr="00A44AF4" w:rsidRDefault="009052B1" w:rsidP="00A434F4">
            <w:pPr>
              <w:rPr>
                <w:sz w:val="20"/>
                <w:szCs w:val="20"/>
                <w:lang w:val="fr-FR"/>
              </w:rPr>
            </w:pPr>
          </w:p>
          <w:tbl>
            <w:tblP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0"/>
              <w:gridCol w:w="4332"/>
            </w:tblGrid>
            <w:tr w:rsidR="009052B1" w:rsidRPr="00221EC2" w:rsidTr="00A434F4">
              <w:trPr>
                <w:trHeight w:val="483"/>
              </w:trPr>
              <w:tc>
                <w:tcPr>
                  <w:tcW w:w="4950" w:type="dxa"/>
                  <w:tcBorders>
                    <w:top w:val="nil"/>
                    <w:left w:val="nil"/>
                    <w:bottom w:val="nil"/>
                    <w:right w:val="nil"/>
                  </w:tcBorders>
                  <w:shd w:val="clear" w:color="auto" w:fill="auto"/>
                </w:tcPr>
                <w:p w:rsidR="009052B1" w:rsidRPr="00A44AF4" w:rsidRDefault="009052B1" w:rsidP="00A434F4">
                  <w:pPr>
                    <w:rPr>
                      <w:sz w:val="20"/>
                      <w:szCs w:val="20"/>
                      <w:lang w:val="fr-FR"/>
                    </w:rPr>
                  </w:pPr>
                  <w:r w:rsidRPr="00A44AF4">
                    <w:rPr>
                      <w:b/>
                      <w:sz w:val="20"/>
                      <w:szCs w:val="20"/>
                      <w:lang w:val="fr-FR"/>
                    </w:rPr>
                    <w:t>Source :</w:t>
                  </w:r>
                  <w:r w:rsidRPr="00A44AF4">
                    <w:rPr>
                      <w:sz w:val="20"/>
                      <w:szCs w:val="20"/>
                      <w:lang w:val="fr-FR"/>
                    </w:rPr>
                    <w:t xml:space="preserve"> Dominic Provost</w:t>
                  </w:r>
                </w:p>
                <w:p w:rsidR="009052B1" w:rsidRPr="00A44AF4" w:rsidRDefault="009052B1" w:rsidP="00A434F4">
                  <w:pPr>
                    <w:rPr>
                      <w:sz w:val="20"/>
                      <w:szCs w:val="20"/>
                      <w:lang w:val="fr-FR"/>
                    </w:rPr>
                  </w:pPr>
                  <w:r w:rsidRPr="00A44AF4">
                    <w:rPr>
                      <w:sz w:val="20"/>
                      <w:szCs w:val="20"/>
                      <w:lang w:val="fr-FR"/>
                    </w:rPr>
                    <w:tab/>
                    <w:t xml:space="preserve">  Conseiller en communication</w:t>
                  </w:r>
                </w:p>
                <w:p w:rsidR="009052B1" w:rsidRPr="00A44AF4" w:rsidRDefault="009052B1" w:rsidP="00A434F4">
                  <w:pPr>
                    <w:rPr>
                      <w:sz w:val="20"/>
                      <w:szCs w:val="20"/>
                      <w:lang w:val="en-CA"/>
                    </w:rPr>
                  </w:pPr>
                  <w:r w:rsidRPr="00A44AF4">
                    <w:rPr>
                      <w:sz w:val="20"/>
                      <w:szCs w:val="20"/>
                      <w:lang w:val="fr-FR"/>
                    </w:rPr>
                    <w:tab/>
                    <w:t xml:space="preserve">  </w:t>
                  </w:r>
                  <w:r w:rsidRPr="00A44AF4">
                    <w:rPr>
                      <w:sz w:val="20"/>
                      <w:szCs w:val="20"/>
                      <w:lang w:val="en-CA"/>
                    </w:rPr>
                    <w:t>Cell. : 418 929-4082</w:t>
                  </w:r>
                </w:p>
                <w:p w:rsidR="009052B1" w:rsidRPr="00A44AF4" w:rsidRDefault="009052B1" w:rsidP="00A434F4">
                  <w:pPr>
                    <w:rPr>
                      <w:sz w:val="20"/>
                      <w:szCs w:val="20"/>
                      <w:lang w:val="en-CA"/>
                    </w:rPr>
                  </w:pPr>
                  <w:r w:rsidRPr="00A44AF4">
                    <w:rPr>
                      <w:sz w:val="20"/>
                      <w:szCs w:val="20"/>
                      <w:lang w:val="en-CA"/>
                    </w:rPr>
                    <w:t xml:space="preserve">              </w:t>
                  </w:r>
                  <w:hyperlink r:id="rId5" w:history="1">
                    <w:r w:rsidRPr="00A44AF4">
                      <w:rPr>
                        <w:rStyle w:val="Lienhypertexte"/>
                        <w:sz w:val="20"/>
                        <w:szCs w:val="20"/>
                        <w:lang w:val="en-CA"/>
                      </w:rPr>
                      <w:t>provost.dominic@csq.qc.net</w:t>
                    </w:r>
                  </w:hyperlink>
                  <w:r w:rsidRPr="00A44AF4">
                    <w:rPr>
                      <w:sz w:val="20"/>
                      <w:szCs w:val="20"/>
                      <w:lang w:val="en-CA"/>
                    </w:rPr>
                    <w:t xml:space="preserve"> </w:t>
                  </w:r>
                </w:p>
              </w:tc>
              <w:tc>
                <w:tcPr>
                  <w:tcW w:w="4332" w:type="dxa"/>
                  <w:tcBorders>
                    <w:top w:val="nil"/>
                    <w:left w:val="nil"/>
                    <w:bottom w:val="nil"/>
                    <w:right w:val="nil"/>
                  </w:tcBorders>
                  <w:shd w:val="clear" w:color="auto" w:fill="auto"/>
                </w:tcPr>
                <w:p w:rsidR="009052B1" w:rsidRPr="00A44AF4" w:rsidRDefault="009052B1" w:rsidP="00A434F4">
                  <w:pPr>
                    <w:rPr>
                      <w:sz w:val="20"/>
                      <w:szCs w:val="20"/>
                      <w:lang w:val="fr-FR"/>
                    </w:rPr>
                  </w:pPr>
                  <w:r w:rsidRPr="00A44AF4">
                    <w:rPr>
                      <w:b/>
                      <w:sz w:val="20"/>
                      <w:szCs w:val="20"/>
                      <w:lang w:val="fr-FR"/>
                    </w:rPr>
                    <w:t>Information :</w:t>
                  </w:r>
                  <w:r w:rsidRPr="00A44AF4">
                    <w:rPr>
                      <w:sz w:val="20"/>
                      <w:szCs w:val="20"/>
                      <w:lang w:val="fr-FR"/>
                    </w:rPr>
                    <w:t xml:space="preserve"> Mireille Ménard</w:t>
                  </w:r>
                </w:p>
                <w:p w:rsidR="009052B1" w:rsidRPr="00A44AF4" w:rsidRDefault="009052B1" w:rsidP="00A434F4">
                  <w:pPr>
                    <w:ind w:left="1296"/>
                    <w:rPr>
                      <w:sz w:val="20"/>
                      <w:szCs w:val="20"/>
                      <w:lang w:val="fr-FR"/>
                    </w:rPr>
                  </w:pPr>
                  <w:r w:rsidRPr="00A44AF4">
                    <w:rPr>
                      <w:sz w:val="20"/>
                      <w:szCs w:val="20"/>
                      <w:lang w:val="fr-FR"/>
                    </w:rPr>
                    <w:t>Présidente régionale</w:t>
                  </w:r>
                </w:p>
                <w:p w:rsidR="009052B1" w:rsidRPr="00A44AF4" w:rsidRDefault="009052B1" w:rsidP="00A434F4">
                  <w:pPr>
                    <w:ind w:left="1296"/>
                    <w:rPr>
                      <w:snapToGrid/>
                      <w:sz w:val="20"/>
                      <w:szCs w:val="20"/>
                    </w:rPr>
                  </w:pPr>
                  <w:r w:rsidRPr="00A44AF4">
                    <w:rPr>
                      <w:snapToGrid/>
                      <w:sz w:val="20"/>
                      <w:szCs w:val="20"/>
                    </w:rPr>
                    <w:t>Tél. : 450 687-2446</w:t>
                  </w:r>
                </w:p>
                <w:p w:rsidR="009052B1" w:rsidRPr="00BF01A4" w:rsidRDefault="009052B1" w:rsidP="00A434F4">
                  <w:pPr>
                    <w:ind w:left="1296"/>
                    <w:jc w:val="left"/>
                    <w:rPr>
                      <w:sz w:val="20"/>
                      <w:szCs w:val="20"/>
                      <w:lang w:val="fr-FR"/>
                    </w:rPr>
                  </w:pPr>
                  <w:hyperlink r:id="rId6" w:history="1">
                    <w:r w:rsidRPr="00A44AF4">
                      <w:rPr>
                        <w:rStyle w:val="Lienhypertexte"/>
                        <w:snapToGrid/>
                        <w:sz w:val="20"/>
                        <w:szCs w:val="20"/>
                      </w:rPr>
                      <w:t>menardareqlll@gmail.com</w:t>
                    </w:r>
                  </w:hyperlink>
                  <w:r w:rsidRPr="00BF01A4">
                    <w:rPr>
                      <w:sz w:val="20"/>
                      <w:szCs w:val="20"/>
                      <w:lang w:val="fr-FR"/>
                    </w:rPr>
                    <w:t xml:space="preserve"> </w:t>
                  </w:r>
                </w:p>
              </w:tc>
            </w:tr>
          </w:tbl>
          <w:p w:rsidR="009052B1" w:rsidRPr="00221EC2" w:rsidRDefault="009052B1" w:rsidP="00A434F4">
            <w:pPr>
              <w:rPr>
                <w:sz w:val="20"/>
                <w:szCs w:val="20"/>
                <w:lang w:val="fr-FR"/>
              </w:rPr>
            </w:pPr>
          </w:p>
        </w:tc>
        <w:tc>
          <w:tcPr>
            <w:tcW w:w="220" w:type="dxa"/>
          </w:tcPr>
          <w:p w:rsidR="009052B1" w:rsidRPr="00221EC2" w:rsidRDefault="009052B1" w:rsidP="00A434F4">
            <w:pPr>
              <w:jc w:val="left"/>
              <w:rPr>
                <w:sz w:val="20"/>
                <w:szCs w:val="20"/>
                <w:lang w:val="fr-FR"/>
              </w:rPr>
            </w:pPr>
          </w:p>
        </w:tc>
      </w:tr>
    </w:tbl>
    <w:p w:rsidR="009052B1" w:rsidRPr="00CE319D" w:rsidRDefault="009052B1" w:rsidP="009052B1">
      <w:pPr>
        <w:rPr>
          <w:snapToGrid/>
          <w:sz w:val="22"/>
          <w:szCs w:val="22"/>
        </w:rPr>
      </w:pPr>
    </w:p>
    <w:p w:rsidR="009052B1" w:rsidRDefault="009052B1" w:rsidP="009052B1">
      <w:pPr>
        <w:tabs>
          <w:tab w:val="left" w:pos="1080"/>
        </w:tabs>
        <w:jc w:val="left"/>
        <w:rPr>
          <w:sz w:val="22"/>
          <w:szCs w:val="22"/>
        </w:rPr>
      </w:pPr>
    </w:p>
    <w:p w:rsidR="009052B1" w:rsidRDefault="009052B1" w:rsidP="009052B1">
      <w:pPr>
        <w:tabs>
          <w:tab w:val="left" w:pos="1080"/>
        </w:tabs>
        <w:jc w:val="left"/>
        <w:rPr>
          <w:sz w:val="22"/>
          <w:szCs w:val="22"/>
        </w:rPr>
      </w:pPr>
    </w:p>
    <w:p w:rsidR="00F50C2A" w:rsidRDefault="00F50C2A">
      <w:bookmarkStart w:id="0" w:name="_GoBack"/>
      <w:bookmarkEnd w:id="0"/>
    </w:p>
    <w:sectPr w:rsidR="00F50C2A" w:rsidSect="00535493">
      <w:pgSz w:w="12240" w:h="15840" w:code="1"/>
      <w:pgMar w:top="810" w:right="1440" w:bottom="0" w:left="1440" w:header="450" w:footer="706"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2B1"/>
    <w:rsid w:val="009052B1"/>
    <w:rsid w:val="00F50C2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22234-BC98-4C31-99C0-CF135113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2B1"/>
    <w:pPr>
      <w:spacing w:after="0" w:line="240" w:lineRule="auto"/>
      <w:jc w:val="both"/>
    </w:pPr>
    <w:rPr>
      <w:rFonts w:ascii="Arial" w:eastAsia="Times New Roman" w:hAnsi="Arial" w:cs="Arial"/>
      <w:snapToGrid w:val="0"/>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nhideWhenUsed/>
    <w:rsid w:val="009052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nardareqlll@gmail.com" TargetMode="External"/><Relationship Id="rId5" Type="http://schemas.openxmlformats.org/officeDocument/2006/relationships/hyperlink" Target="mailto:provost.dominic@csq.qc.net"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2288</Characters>
  <Application>Microsoft Office Word</Application>
  <DocSecurity>0</DocSecurity>
  <Lines>19</Lines>
  <Paragraphs>5</Paragraphs>
  <ScaleCrop>false</ScaleCrop>
  <Company>Hewlett-Packard Company</Company>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forest</dc:creator>
  <cp:keywords/>
  <dc:description/>
  <cp:lastModifiedBy>monique forest</cp:lastModifiedBy>
  <cp:revision>1</cp:revision>
  <dcterms:created xsi:type="dcterms:W3CDTF">2016-05-31T23:16:00Z</dcterms:created>
  <dcterms:modified xsi:type="dcterms:W3CDTF">2016-05-31T23:16:00Z</dcterms:modified>
</cp:coreProperties>
</file>